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eastAsia="SimSun" w:cs="Mangal"/>
          <w:sz w:val="24"/>
          <w:szCs w:val="24"/>
          <w:lang w:val="en-US" w:eastAsia="hi-IN" w:bidi="hi-IN"/>
        </w:rPr>
      </w:pPr>
      <w:r>
        <w:rPr>
          <w:rFonts w:eastAsia="SimSun" w:cs="Mangal"/>
          <w:sz w:val="24"/>
          <w:szCs w:val="24"/>
          <w:lang w:val="en-US" w:eastAsia="hi-IN" w:bidi="hi-IN"/>
        </w:rPr>
      </w:r>
    </w:p>
    <w:tbl>
      <w:tblPr>
        <w:tblW w:w="9639" w:type="dxa"/>
        <w:jc w:val="left"/>
        <w:tblInd w:w="-10" w:type="dxa"/>
        <w:tblBorders>
          <w:top w:val="single" w:sz="4" w:space="0" w:color="000001"/>
          <w:left w:val="single" w:sz="4" w:space="0" w:color="000001"/>
          <w:bottom w:val="single" w:sz="4" w:space="0" w:color="000001"/>
          <w:insideH w:val="single" w:sz="4" w:space="0" w:color="000001"/>
        </w:tblBorders>
        <w:tblCellMar>
          <w:top w:w="0" w:type="dxa"/>
          <w:left w:w="98" w:type="dxa"/>
          <w:bottom w:w="0" w:type="dxa"/>
          <w:right w:w="108" w:type="dxa"/>
        </w:tblCellMar>
      </w:tblPr>
      <w:tblGrid>
        <w:gridCol w:w="850"/>
        <w:gridCol w:w="1416"/>
        <w:gridCol w:w="3118"/>
        <w:gridCol w:w="2268"/>
        <w:gridCol w:w="1987"/>
      </w:tblGrid>
      <w:tr>
        <w:trPr/>
        <w:tc>
          <w:tcPr>
            <w:tcW w:w="850"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Версия</w:t>
            </w:r>
          </w:p>
        </w:tc>
        <w:tc>
          <w:tcPr>
            <w:tcW w:w="141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Описание</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color w:val="00000A"/>
              </w:rPr>
            </w:pPr>
            <w:r>
              <w:rPr>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8"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Одобрил</w:t>
            </w:r>
          </w:p>
        </w:tc>
      </w:tr>
      <w:tr>
        <w:trPr/>
        <w:tc>
          <w:tcPr>
            <w:tcW w:w="850" w:type="dxa"/>
            <w:tcBorders>
              <w:top w:val="single" w:sz="4" w:space="0" w:color="000001"/>
              <w:left w:val="single" w:sz="4" w:space="0" w:color="000001"/>
              <w:bottom w:val="single" w:sz="4" w:space="0" w:color="000001"/>
              <w:insideH w:val="single" w:sz="4" w:space="0" w:color="000001"/>
            </w:tcBorders>
            <w:shd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1416"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r>
    </w:tbl>
    <w:p>
      <w:pPr>
        <w:pStyle w:val="Normal"/>
        <w:rPr/>
      </w:pPr>
      <w:r>
        <w:rPr/>
      </w:r>
    </w:p>
    <w:p>
      <w:pPr>
        <w:pStyle w:val="GDPRApisParts"/>
        <w:numPr>
          <w:ilvl w:val="0"/>
          <w:numId w:val="2"/>
        </w:numPr>
        <w:spacing w:lineRule="auto" w:line="240" w:before="240" w:after="240"/>
        <w:ind w:left="425" w:hanging="425"/>
        <w:rPr/>
      </w:pPr>
      <w:r>
        <w:rPr>
          <w:rFonts w:cs="Arial"/>
        </w:rPr>
        <w:t>Предназначение на процедурата</w:t>
      </w:r>
    </w:p>
    <w:p>
      <w:pPr>
        <w:pStyle w:val="ListParagraph"/>
        <w:numPr>
          <w:ilvl w:val="0"/>
          <w:numId w:val="1"/>
        </w:numPr>
        <w:shd w:val="clear" w:color="auto" w:themeTint="0" w:themeShade="0" w:fill="FFFFFF" w:themeFill="background1" w:themeFillTint="0" w:themeFillShade="0"/>
        <w:tabs>
          <w:tab w:val="left" w:pos="284" w:leader="none"/>
        </w:tabs>
        <w:spacing w:before="0" w:after="120"/>
        <w:ind w:left="0" w:hanging="360"/>
        <w:rPr/>
      </w:pPr>
      <w:r>
        <w:rPr>
          <w:rFonts w:cs="Arial" w:ascii="Arial" w:hAnsi="Arial"/>
          <w:sz w:val="22"/>
          <w:szCs w:val="22"/>
          <w:lang w:val="bg-BG"/>
        </w:rPr>
        <w:t xml:space="preserve">Тази процедура обхваща случаите, когато субектът на данни упражнява своето право на преносимост на личните си данни и го прилага спрямо </w:t>
      </w:r>
      <w:r>
        <w:rPr>
          <w:rStyle w:val="SGDPRAdministratorNameChar"/>
          <w:rFonts w:cs="Arial" w:ascii="Arial" w:hAnsi="Arial"/>
          <w:sz w:val="22"/>
          <w:szCs w:val="22"/>
          <w:lang w:val="bg-BG"/>
        </w:rPr>
        <w:t>ПАТО ЕООД</w:t>
      </w:r>
      <w:r>
        <w:rPr>
          <w:rFonts w:cs="Arial" w:ascii="Arial" w:hAnsi="Arial"/>
          <w:sz w:val="22"/>
          <w:szCs w:val="22"/>
          <w:lang w:val="bg-BG"/>
        </w:rPr>
        <w:t>, за да получи данните и да ги използва повторно или да ги прехвърли на други администратори на данни.</w:t>
      </w:r>
    </w:p>
    <w:p>
      <w:pPr>
        <w:pStyle w:val="ListParagraph"/>
        <w:shd w:val="clear" w:color="auto" w:themeTint="0" w:themeShade="0" w:fill="FFFFFF" w:themeFill="background1" w:themeFillTint="0" w:themeFillShade="0"/>
        <w:tabs>
          <w:tab w:val="left" w:pos="0" w:leader="none"/>
          <w:tab w:val="left" w:pos="284" w:leader="none"/>
        </w:tabs>
        <w:spacing w:before="0" w:after="120"/>
        <w:ind w:left="0" w:hanging="0"/>
        <w:rPr>
          <w:rFonts w:ascii="Arial" w:hAnsi="Arial" w:cs="Arial"/>
          <w:sz w:val="22"/>
          <w:szCs w:val="22"/>
          <w:lang w:val="ru-RU"/>
        </w:rPr>
      </w:pPr>
      <w:r>
        <w:rPr>
          <w:rFonts w:cs="Arial" w:ascii="Arial" w:hAnsi="Arial"/>
          <w:sz w:val="22"/>
          <w:szCs w:val="22"/>
          <w:lang w:val="bg-BG"/>
        </w:rPr>
        <w:t>Субектите на данни</w:t>
      </w:r>
      <w:r>
        <w:rPr>
          <w:rFonts w:cs="Arial" w:ascii="Arial" w:hAnsi="Arial"/>
          <w:sz w:val="22"/>
          <w:szCs w:val="22"/>
        </w:rPr>
        <w:t xml:space="preserve"> </w:t>
      </w:r>
      <w:r>
        <w:rPr>
          <w:rFonts w:cs="Arial" w:ascii="Arial" w:hAnsi="Arial"/>
          <w:sz w:val="22"/>
          <w:szCs w:val="22"/>
          <w:lang w:val="bg-BG"/>
        </w:rPr>
        <w:t>имат право да поискат:</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 xml:space="preserve">копие от личните данни, които са предоставили на </w:t>
      </w:r>
      <w:r>
        <w:rPr>
          <w:rStyle w:val="SGDPRAdministratorNameChar"/>
          <w:rFonts w:cs="Arial" w:ascii="Arial" w:hAnsi="Arial"/>
          <w:sz w:val="22"/>
          <w:szCs w:val="22"/>
        </w:rPr>
        <w:t>(Име на администратора)</w:t>
      </w:r>
      <w:r>
        <w:rPr>
          <w:rFonts w:cs="Arial" w:ascii="Arial" w:hAnsi="Arial"/>
          <w:sz w:val="22"/>
        </w:rPr>
        <w:t>;</w:t>
      </w:r>
    </w:p>
    <w:p>
      <w:pPr>
        <w:pStyle w:val="ListParagraph"/>
        <w:numPr>
          <w:ilvl w:val="0"/>
          <w:numId w:val="3"/>
        </w:numPr>
        <w:shd w:val="clear" w:color="auto" w:themeTint="0" w:themeShade="0" w:fill="FFFFFF" w:themeFill="background1" w:themeFillTint="0" w:themeFillShade="0"/>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szCs w:val="22"/>
          <w:lang w:val="bg-BG"/>
        </w:rPr>
        <w:t xml:space="preserve"> да прехвърли тези данни на друг администратор посочен от субекта, без възпрепятстване.</w:t>
      </w:r>
    </w:p>
    <w:p>
      <w:pPr>
        <w:pStyle w:val="ListParagraph"/>
        <w:numPr>
          <w:ilvl w:val="0"/>
          <w:numId w:val="1"/>
        </w:numPr>
        <w:shd w:val="clear" w:color="auto" w:themeTint="0" w:themeShade="0" w:fill="FFFFFF" w:themeFill="background1" w:themeFillTint="0" w:themeFillShade="0"/>
        <w:tabs>
          <w:tab w:val="left" w:pos="284" w:leader="none"/>
        </w:tabs>
        <w:spacing w:before="0" w:after="120"/>
        <w:ind w:left="0" w:hanging="360"/>
        <w:rPr>
          <w:rFonts w:ascii="Arial" w:hAnsi="Arial" w:cs="Arial"/>
          <w:sz w:val="22"/>
          <w:szCs w:val="22"/>
          <w:lang w:val="bg-BG"/>
        </w:rPr>
      </w:pPr>
      <w:r>
        <w:rPr>
          <w:rFonts w:cs="Arial" w:ascii="Arial" w:hAnsi="Arial"/>
          <w:sz w:val="22"/>
          <w:szCs w:val="22"/>
          <w:lang w:val="bg-BG"/>
        </w:rPr>
        <w:t>Настоящата процедура се прилага само за тези лични данни, за които:</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 xml:space="preserve">Субектът на данните е дал </w:t>
      </w:r>
      <w:r>
        <w:rPr>
          <w:rFonts w:cs="Arial" w:ascii="Arial" w:hAnsi="Arial"/>
          <w:sz w:val="22"/>
          <w:szCs w:val="22"/>
          <w:u w:val="single"/>
          <w:lang w:val="bg-BG"/>
        </w:rPr>
        <w:t>съгласие</w:t>
      </w:r>
      <w:r>
        <w:rPr>
          <w:rFonts w:cs="Arial" w:ascii="Arial" w:hAnsi="Arial"/>
          <w:sz w:val="22"/>
          <w:szCs w:val="22"/>
          <w:lang w:val="bg-BG"/>
        </w:rPr>
        <w:t xml:space="preserve"> за обработване на личните му данни за една или повече конкретни цели</w:t>
      </w:r>
    </w:p>
    <w:p>
      <w:pPr>
        <w:pStyle w:val="ListParagraph"/>
        <w:shd w:val="clear" w:color="auto" w:themeTint="0" w:themeShade="0" w:fill="FFFFFF" w:themeFill="background1" w:themeFillTint="0" w:themeFillShade="0"/>
        <w:tabs>
          <w:tab w:val="left" w:pos="0" w:leader="none"/>
          <w:tab w:val="left" w:pos="426" w:leader="none"/>
        </w:tabs>
        <w:spacing w:before="0" w:after="120"/>
        <w:jc w:val="center"/>
        <w:rPr>
          <w:rFonts w:ascii="Arial" w:hAnsi="Arial" w:cs="Arial"/>
          <w:sz w:val="22"/>
          <w:szCs w:val="22"/>
          <w:u w:val="single"/>
          <w:lang w:val="bg-BG"/>
        </w:rPr>
      </w:pPr>
      <w:r>
        <w:rPr>
          <w:rFonts w:cs="Arial" w:ascii="Arial" w:hAnsi="Arial"/>
          <w:sz w:val="22"/>
          <w:szCs w:val="22"/>
          <w:u w:val="single"/>
          <w:lang w:val="bg-BG"/>
        </w:rPr>
        <w:t>или</w:t>
      </w:r>
    </w:p>
    <w:p>
      <w:pPr>
        <w:pStyle w:val="ListParagraph"/>
        <w:shd w:val="clear" w:color="auto" w:themeTint="0" w:themeShade="0" w:fill="FFFFFF" w:themeFill="background1" w:themeFillTint="0" w:themeFillShade="0"/>
        <w:spacing w:before="0" w:after="120"/>
        <w:ind w:left="851" w:hanging="0"/>
        <w:rPr>
          <w:rFonts w:ascii="Arial" w:hAnsi="Arial" w:cs="Arial"/>
          <w:sz w:val="22"/>
          <w:szCs w:val="22"/>
          <w:lang w:val="bg-BG"/>
        </w:rPr>
      </w:pPr>
      <w:r>
        <w:rPr>
          <w:rFonts w:cs="Arial" w:ascii="Arial" w:hAnsi="Arial"/>
          <w:sz w:val="22"/>
          <w:szCs w:val="22"/>
          <w:lang w:val="bg-BG"/>
        </w:rPr>
        <w:t xml:space="preserve">обработването им е било необходимо за изпълнението на </w:t>
      </w:r>
      <w:r>
        <w:rPr>
          <w:rFonts w:cs="Arial" w:ascii="Arial" w:hAnsi="Arial"/>
          <w:sz w:val="22"/>
          <w:szCs w:val="22"/>
          <w:u w:val="single"/>
          <w:lang w:val="bg-BG"/>
        </w:rPr>
        <w:t>договор</w:t>
      </w:r>
      <w:r>
        <w:rPr>
          <w:rFonts w:cs="Arial" w:ascii="Arial" w:hAnsi="Arial"/>
          <w:sz w:val="22"/>
          <w:szCs w:val="22"/>
          <w:lang w:val="bg-BG"/>
        </w:rPr>
        <w:t>, по който субектът на данните е страна, или за предприемане на стъпки по искане на субекта на данните преди сключването на договор,</w:t>
      </w:r>
    </w:p>
    <w:p>
      <w:pPr>
        <w:pStyle w:val="ListParagraph"/>
        <w:shd w:val="clear" w:color="auto" w:themeTint="0" w:themeShade="0" w:fill="FFFFFF" w:themeFill="background1" w:themeFillTint="0" w:themeFillShade="0"/>
        <w:tabs>
          <w:tab w:val="left" w:pos="0" w:leader="none"/>
          <w:tab w:val="left" w:pos="426" w:leader="none"/>
        </w:tabs>
        <w:spacing w:before="0" w:after="120"/>
        <w:jc w:val="center"/>
        <w:rPr>
          <w:rFonts w:ascii="Arial" w:hAnsi="Arial" w:cs="Arial"/>
          <w:sz w:val="22"/>
          <w:szCs w:val="22"/>
          <w:u w:val="single"/>
          <w:lang w:val="bg-BG"/>
        </w:rPr>
      </w:pPr>
      <w:r>
        <w:rPr>
          <w:rFonts w:cs="Arial" w:ascii="Arial" w:hAnsi="Arial"/>
          <w:sz w:val="22"/>
          <w:szCs w:val="22"/>
          <w:u w:val="single"/>
          <w:lang w:val="bg-BG"/>
        </w:rPr>
        <w:t>и</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 xml:space="preserve">обработването им е било извършено по </w:t>
      </w:r>
      <w:r>
        <w:rPr>
          <w:rFonts w:cs="Arial" w:ascii="Arial" w:hAnsi="Arial"/>
          <w:sz w:val="22"/>
          <w:szCs w:val="22"/>
          <w:u w:val="single"/>
          <w:lang w:val="bg-BG"/>
        </w:rPr>
        <w:t>автоматизиран</w:t>
      </w:r>
      <w:r>
        <w:rPr>
          <w:rFonts w:cs="Arial" w:ascii="Arial" w:hAnsi="Arial"/>
          <w:sz w:val="22"/>
          <w:szCs w:val="22"/>
          <w:lang w:val="bg-BG"/>
        </w:rPr>
        <w:t xml:space="preserve"> начин.</w:t>
      </w:r>
    </w:p>
    <w:p>
      <w:pPr>
        <w:pStyle w:val="ListParagraph"/>
        <w:numPr>
          <w:ilvl w:val="0"/>
          <w:numId w:val="1"/>
        </w:numPr>
        <w:shd w:val="clear" w:color="auto" w:themeTint="0" w:themeShade="0" w:fill="FFFFFF" w:themeFill="background1" w:themeFillTint="0" w:themeFillShade="0"/>
        <w:tabs>
          <w:tab w:val="left" w:pos="284" w:leader="none"/>
        </w:tabs>
        <w:spacing w:before="0" w:after="120"/>
        <w:ind w:left="0" w:hanging="360"/>
        <w:rPr/>
      </w:pPr>
      <w:r>
        <w:rPr>
          <w:rFonts w:cs="Arial" w:ascii="Arial" w:hAnsi="Arial"/>
          <w:sz w:val="22"/>
          <w:szCs w:val="22"/>
          <w:lang w:val="bg-BG"/>
        </w:rPr>
        <w:t xml:space="preserve">Тази процедура се прилага и за реципрочните случаи, когато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получава от друг администратор информация за субект на данни, който е решил да упражни правото си на преносимост. В тези случаи</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се явява администратор по отношение на новоприетите данни.</w:t>
      </w:r>
    </w:p>
    <w:p>
      <w:pPr>
        <w:pStyle w:val="GDPRApisParts"/>
        <w:numPr>
          <w:ilvl w:val="0"/>
          <w:numId w:val="2"/>
        </w:numPr>
        <w:spacing w:lineRule="auto" w:line="240" w:before="240" w:after="240"/>
        <w:ind w:left="425" w:hanging="425"/>
        <w:rPr>
          <w:rFonts w:cs="Arial"/>
        </w:rPr>
      </w:pPr>
      <w:r>
        <w:rPr>
          <w:rFonts w:cs="Arial"/>
        </w:rPr>
        <w:t>Нормативна уредба</w:t>
      </w:r>
    </w:p>
    <w:p>
      <w:pPr>
        <w:pStyle w:val="ListParagraph"/>
        <w:numPr>
          <w:ilvl w:val="0"/>
          <w:numId w:val="3"/>
        </w:numPr>
        <w:shd w:val="clear" w:color="auto" w:themeTint="0" w:themeShade="0" w:fill="FFFFFF" w:themeFill="background1" w:themeFillTint="0" w:themeFillShade="0"/>
        <w:spacing w:before="0" w:after="120"/>
        <w:ind w:left="851" w:hanging="425"/>
        <w:rPr/>
      </w:pPr>
      <w:hyperlink r:id="rId2">
        <w:r>
          <w:rPr>
            <w:rStyle w:val="Style14"/>
            <w:rFonts w:cs="Arial" w:ascii="Arial" w:hAnsi="Arial"/>
            <w:sz w:val="22"/>
            <w:szCs w:val="22"/>
            <w:lang w:val="bg-BG"/>
          </w:rPr>
          <w:t>Член 12</w:t>
        </w:r>
      </w:hyperlink>
      <w:r>
        <w:rPr>
          <w:rFonts w:cs="Arial" w:ascii="Arial" w:hAnsi="Arial"/>
          <w:sz w:val="22"/>
          <w:szCs w:val="22"/>
          <w:lang w:val="bg-BG"/>
        </w:rPr>
        <w:t xml:space="preserve"> от Общия регламент за защита на данните </w:t>
      </w:r>
      <w:r>
        <w:rPr>
          <w:rFonts w:cs="Arial" w:ascii="Arial" w:hAnsi="Arial"/>
          <w:sz w:val="22"/>
          <w:szCs w:val="22"/>
        </w:rPr>
        <w:t>(</w:t>
      </w:r>
      <w:r>
        <w:rPr>
          <w:rFonts w:cs="Arial" w:ascii="Arial" w:hAnsi="Arial"/>
          <w:sz w:val="22"/>
          <w:szCs w:val="22"/>
          <w:lang w:val="bg-BG"/>
        </w:rPr>
        <w:t>ОРЗД</w:t>
      </w:r>
      <w:r>
        <w:rPr>
          <w:rFonts w:cs="Arial" w:ascii="Arial" w:hAnsi="Arial"/>
          <w:sz w:val="22"/>
          <w:szCs w:val="22"/>
        </w:rPr>
        <w:t>)</w:t>
      </w:r>
    </w:p>
    <w:p>
      <w:pPr>
        <w:pStyle w:val="ListParagraph"/>
        <w:numPr>
          <w:ilvl w:val="0"/>
          <w:numId w:val="3"/>
        </w:numPr>
        <w:shd w:val="clear" w:color="auto" w:themeTint="0" w:themeShade="0" w:fill="FFFFFF" w:themeFill="background1" w:themeFillTint="0" w:themeFillShade="0"/>
        <w:spacing w:before="0" w:after="120"/>
        <w:ind w:left="851" w:hanging="425"/>
        <w:rPr/>
      </w:pPr>
      <w:hyperlink r:id="rId3">
        <w:r>
          <w:rPr>
            <w:rStyle w:val="Style14"/>
            <w:rFonts w:eastAsia="SimSun" w:cs="Arial" w:ascii="Arial" w:hAnsi="Arial"/>
            <w:sz w:val="22"/>
            <w:szCs w:val="22"/>
            <w:lang w:val="bg-BG"/>
          </w:rPr>
          <w:t>Насоки</w:t>
        </w:r>
      </w:hyperlink>
      <w:r>
        <w:rPr>
          <w:rFonts w:eastAsia="SimSun" w:cs="Arial" w:ascii="Arial" w:hAnsi="Arial"/>
          <w:sz w:val="22"/>
          <w:szCs w:val="22"/>
          <w:lang w:val="bg-BG"/>
        </w:rPr>
        <w:t xml:space="preserve"> относно правото на преносимост на данните</w:t>
      </w:r>
    </w:p>
    <w:p>
      <w:pPr>
        <w:pStyle w:val="GDPRApisParts"/>
        <w:keepNext/>
        <w:numPr>
          <w:ilvl w:val="0"/>
          <w:numId w:val="2"/>
        </w:numPr>
        <w:spacing w:lineRule="auto" w:line="240" w:before="240" w:after="240"/>
        <w:ind w:left="425" w:hanging="425"/>
        <w:rPr>
          <w:rFonts w:cs="Arial"/>
        </w:rPr>
      </w:pPr>
      <w:r>
        <w:rPr>
          <w:rFonts w:cs="Arial"/>
        </w:rPr>
        <w:t>Задължения и роли</w:t>
      </w:r>
    </w:p>
    <w:p>
      <w:pPr>
        <w:pStyle w:val="ListParagraph"/>
        <w:shd w:val="clear" w:color="auto" w:themeTint="0" w:themeShade="0" w:fill="FFFFFF" w:themeFill="background1" w:themeFillTint="0" w:themeFillShade="0"/>
        <w:tabs>
          <w:tab w:val="left" w:pos="0" w:leader="none"/>
          <w:tab w:val="left" w:pos="426" w:leader="none"/>
        </w:tabs>
        <w:spacing w:before="0" w:after="120"/>
        <w:ind w:left="0" w:hanging="0"/>
        <w:rPr/>
      </w:pPr>
      <w:r>
        <w:rPr>
          <w:rFonts w:cs="Arial" w:ascii="Arial" w:hAnsi="Arial"/>
          <w:sz w:val="22"/>
          <w:szCs w:val="22"/>
          <w:lang w:val="bg-BG"/>
        </w:rPr>
        <w:t xml:space="preserve">ПАТО ЕООД отговаря за прехвърлянето на данните без затруднения и гарантира, че те се предават със съответното ниво на комуникационна сигурност. </w:t>
      </w:r>
      <w:r>
        <w:rPr>
          <w:rStyle w:val="SGDPRAdministratorNameChar"/>
          <w:rFonts w:cs="Arial" w:ascii="Arial" w:hAnsi="Arial"/>
          <w:sz w:val="22"/>
          <w:szCs w:val="22"/>
        </w:rPr>
        <w:t>(Име на администратора)</w:t>
      </w:r>
      <w:r>
        <w:rPr>
          <w:rFonts w:cs="Arial" w:ascii="Arial" w:hAnsi="Arial"/>
          <w:sz w:val="22"/>
          <w:szCs w:val="22"/>
          <w:lang w:val="bg-BG"/>
        </w:rPr>
        <w:t xml:space="preserve"> следва да оцени специфичните рискове, свързани с преносимостта на данните, и да предприеме подходящи мерки за намаляване на риска.</w:t>
      </w:r>
    </w:p>
    <w:p>
      <w:pPr>
        <w:pStyle w:val="ListParagraph"/>
        <w:shd w:val="clear" w:color="auto" w:themeTint="0" w:themeShade="0" w:fill="FFFFFF" w:themeFill="background1" w:themeFillTint="0" w:themeFillShade="0"/>
        <w:tabs>
          <w:tab w:val="left" w:pos="0" w:leader="none"/>
          <w:tab w:val="left" w:pos="426" w:leader="none"/>
        </w:tabs>
        <w:spacing w:before="0" w:after="120"/>
        <w:ind w:left="0" w:hanging="0"/>
        <w:rPr>
          <w:rFonts w:ascii="Arial" w:hAnsi="Arial" w:cs="Arial"/>
          <w:sz w:val="22"/>
          <w:szCs w:val="22"/>
          <w:lang w:val="bg-BG"/>
        </w:rPr>
      </w:pPr>
      <w:r>
        <w:rPr>
          <w:rFonts w:cs="Arial" w:ascii="Arial" w:hAnsi="Arial"/>
          <w:sz w:val="22"/>
          <w:szCs w:val="22"/>
          <w:lang w:val="bg-BG"/>
        </w:rPr>
        <w:t>Длъжностното лице по защита на данните / Отговорникът по защита на данните отговаря за ефективното прилагане на тази процедура и за информирането на ръководителя на ИТ отдела (</w:t>
      </w:r>
      <w:r>
        <w:rPr>
          <w:rFonts w:cs="Arial" w:ascii="Arial" w:hAnsi="Arial"/>
          <w:i/>
          <w:sz w:val="22"/>
          <w:szCs w:val="22"/>
          <w:lang w:val="bg-BG"/>
        </w:rPr>
        <w:t>посочете точното наименование на тази длъжност</w:t>
      </w:r>
      <w:r>
        <w:rPr>
          <w:rFonts w:cs="Arial" w:ascii="Arial" w:hAnsi="Arial"/>
          <w:sz w:val="22"/>
          <w:szCs w:val="22"/>
          <w:lang w:val="bg-BG"/>
        </w:rPr>
        <w:t>) за нейното изпълнение.</w:t>
      </w:r>
    </w:p>
    <w:p>
      <w:pPr>
        <w:pStyle w:val="GDPRApisParts"/>
        <w:numPr>
          <w:ilvl w:val="0"/>
          <w:numId w:val="2"/>
        </w:numPr>
        <w:spacing w:lineRule="auto" w:line="240" w:before="240" w:after="240"/>
        <w:ind w:left="425" w:hanging="425"/>
        <w:rPr>
          <w:rFonts w:cs="Arial"/>
        </w:rPr>
      </w:pPr>
      <w:r>
        <w:rPr>
          <w:rFonts w:cs="Arial"/>
        </w:rPr>
        <w:t>Ход на процедурата</w:t>
      </w:r>
    </w:p>
    <w:p>
      <w:pPr>
        <w:pStyle w:val="ListParagraph"/>
        <w:numPr>
          <w:ilvl w:val="0"/>
          <w:numId w:val="4"/>
        </w:numPr>
        <w:shd w:val="clear" w:color="auto" w:themeTint="0" w:themeShade="0" w:fill="FFFFFF" w:themeFill="background1" w:themeFillTint="0" w:themeFillShade="0"/>
        <w:tabs>
          <w:tab w:val="left" w:pos="0" w:leader="none"/>
          <w:tab w:val="left" w:pos="426" w:leader="none"/>
        </w:tabs>
        <w:spacing w:before="0" w:after="120"/>
        <w:rPr>
          <w:rFonts w:ascii="Arial" w:hAnsi="Arial" w:cs="Arial"/>
          <w:b/>
          <w:b/>
          <w:szCs w:val="22"/>
          <w:lang w:val="bg-BG"/>
        </w:rPr>
      </w:pPr>
      <w:r>
        <w:rPr>
          <w:rFonts w:cs="Arial" w:ascii="Arial" w:hAnsi="Arial"/>
          <w:b/>
          <w:szCs w:val="22"/>
          <w:lang w:val="bg-BG"/>
        </w:rPr>
        <w:t>Предаване на лични данни или прехвърляне към друг администратор</w:t>
      </w:r>
    </w:p>
    <w:p>
      <w:pPr>
        <w:pStyle w:val="Normal"/>
        <w:shd w:val="clear" w:color="auto" w:themeTint="0" w:themeShade="0" w:fill="FFFFFF" w:themeFill="background1" w:themeFillTint="0" w:themeFillShade="0"/>
        <w:tabs>
          <w:tab w:val="left" w:pos="284" w:leader="none"/>
        </w:tabs>
        <w:spacing w:before="0" w:after="120"/>
        <w:rPr/>
      </w:pPr>
      <w:r>
        <w:rPr>
          <w:rStyle w:val="SGDPRAdministratorNameChar"/>
          <w:rFonts w:cs="Arial" w:ascii="Arial" w:hAnsi="Arial"/>
          <w:sz w:val="22"/>
          <w:szCs w:val="22"/>
        </w:rPr>
        <w:t xml:space="preserve">ПАТО ЕООД </w:t>
      </w:r>
      <w:r>
        <w:rPr>
          <w:rFonts w:cs="Arial" w:ascii="Arial" w:hAnsi="Arial"/>
          <w:sz w:val="22"/>
          <w:szCs w:val="22"/>
        </w:rPr>
        <w:t xml:space="preserve"> информира субектите на данни за съществуването на право на преносимост към момента на получаване на лични данни.</w:t>
      </w:r>
    </w:p>
    <w:p>
      <w:pPr>
        <w:pStyle w:val="ListParagraph"/>
        <w:shd w:val="clear" w:color="auto" w:themeTint="0" w:themeShade="0" w:fill="FFFFFF" w:themeFill="background1" w:themeFillTint="0" w:themeFillShade="0"/>
        <w:tabs>
          <w:tab w:val="left" w:pos="0" w:leader="none"/>
          <w:tab w:val="left" w:pos="426" w:leader="none"/>
        </w:tabs>
        <w:spacing w:before="0" w:after="120"/>
        <w:ind w:left="0" w:hanging="0"/>
        <w:rPr/>
      </w:pPr>
      <w:r>
        <w:rPr>
          <w:rFonts w:cs="Arial" w:ascii="Arial" w:hAnsi="Arial"/>
          <w:sz w:val="22"/>
          <w:szCs w:val="22"/>
          <w:lang w:val="bg-BG"/>
        </w:rPr>
        <w:t xml:space="preserve">При постъпване на искане за предаване или за прехвърляне на лични данни към друг администратор,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обработва искането на субекта при спазване на следните правила:</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Всяко постъпило искане незабавно се изпраща на Длъжностното лице по защита на данните / Отговорника по защита на данните, който проверява за ясни и неоспорими доказателства за самоличността на субекта на данни под формата на лични документи, клиентски номер, електронна карта или друг еднозначен идентификатор;</w:t>
      </w:r>
    </w:p>
    <w:p>
      <w:pPr>
        <w:pStyle w:val="ListParagraph"/>
        <w:numPr>
          <w:ilvl w:val="0"/>
          <w:numId w:val="3"/>
        </w:numPr>
        <w:shd w:val="clear" w:color="auto" w:themeTint="0" w:themeShade="0" w:fill="FFFFFF" w:themeFill="background1" w:themeFillTint="0" w:themeFillShade="0"/>
        <w:spacing w:before="0" w:after="120"/>
        <w:ind w:left="851" w:hanging="425"/>
        <w:rPr/>
      </w:pPr>
      <w:r>
        <w:rPr>
          <w:rFonts w:cs="Arial" w:ascii="Arial" w:hAnsi="Arial"/>
          <w:sz w:val="22"/>
          <w:szCs w:val="22"/>
          <w:lang w:val="bg-BG"/>
        </w:rPr>
        <w:t>Длъжностното лице по защита на данните / Отговорникът по защита на данните проверява дали посочените от субекта данни са получени на основание съгласие или договор и дали са обработени по автоматизиран начин. Ако не са изпълнени тези изисквания, ПАТО ЕООД има право да откаже да удовлетвори искането;</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Когато исканите данни засягат трето лица/а, Длъжностното лице по защита на данните / Отговорникът по защита на данните преценява дали предаването на данни на друг администратор на лични данни би навредило на правата и свободите на други субекти на данни;</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Длъжностното лице по защита на данните / Отговорникът по защита на данните извършва проверка дали подготвените за предаване/прехвърляне лични данни са само и точно тези, които субектът на данни е поискал да бъдат предадени, респ. прехвърлени;</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Поисканата информация се предоставя на субекта на данни в структуриран, широко използван и машинно четим формат</w:t>
      </w:r>
      <w:r>
        <w:rPr>
          <w:rFonts w:cs="Arial" w:ascii="Arial" w:hAnsi="Arial"/>
          <w:sz w:val="22"/>
          <w:szCs w:val="22"/>
        </w:rPr>
        <w:t xml:space="preserve"> (</w:t>
      </w:r>
      <w:r>
        <w:rPr>
          <w:rFonts w:cs="Arial" w:ascii="Arial" w:hAnsi="Arial"/>
          <w:i/>
          <w:sz w:val="22"/>
          <w:szCs w:val="22"/>
          <w:lang w:val="bg-BG"/>
        </w:rPr>
        <w:t xml:space="preserve">посочете какъв, напр. </w:t>
      </w:r>
      <w:r>
        <w:rPr>
          <w:rFonts w:cs="Arial" w:ascii="Arial" w:hAnsi="Arial"/>
          <w:i/>
          <w:sz w:val="22"/>
          <w:szCs w:val="22"/>
        </w:rPr>
        <w:t>XML, CSV</w:t>
      </w:r>
      <w:r>
        <w:rPr>
          <w:rFonts w:cs="Arial" w:ascii="Arial" w:hAnsi="Arial"/>
          <w:i/>
          <w:sz w:val="22"/>
          <w:szCs w:val="22"/>
          <w:lang w:val="bg-BG"/>
        </w:rPr>
        <w:t xml:space="preserve"> и т.н.</w:t>
      </w:r>
      <w:r>
        <w:rPr>
          <w:rFonts w:cs="Arial" w:ascii="Arial" w:hAnsi="Arial"/>
          <w:sz w:val="22"/>
          <w:szCs w:val="22"/>
        </w:rPr>
        <w:t>)</w:t>
      </w:r>
      <w:r>
        <w:rPr>
          <w:rFonts w:cs="Arial" w:ascii="Arial" w:hAnsi="Arial"/>
          <w:sz w:val="22"/>
          <w:szCs w:val="22"/>
          <w:lang w:val="bg-BG"/>
        </w:rPr>
        <w:t>, който позволява ефективно повторно използване на данните;</w:t>
      </w:r>
    </w:p>
    <w:p>
      <w:pPr>
        <w:pStyle w:val="ListParagraph"/>
        <w:numPr>
          <w:ilvl w:val="0"/>
          <w:numId w:val="3"/>
        </w:numPr>
        <w:shd w:val="clear" w:color="auto" w:themeTint="0" w:themeShade="0" w:fill="FFFFFF" w:themeFill="background1" w:themeFillTint="0" w:themeFillShade="0"/>
        <w:spacing w:before="0" w:after="120"/>
        <w:ind w:left="851" w:hanging="425"/>
        <w:rPr/>
      </w:pPr>
      <w:r>
        <w:rPr>
          <w:rFonts w:cs="Arial" w:ascii="Arial" w:hAnsi="Arial"/>
          <w:sz w:val="22"/>
          <w:szCs w:val="22"/>
          <w:lang w:val="bg-BG"/>
        </w:rPr>
        <w:t xml:space="preserve">При предаване на данните на друг администратор на данни, ПАТО ЕООД  ги препраща в оперативно съвместим формат. В случай, че са налице технически пречки, които възпрепятстват директното им прехвърляне, ПАТО ЕООД </w:t>
      </w:r>
      <w:r>
        <w:rPr>
          <w:rStyle w:val="SGDPRAdministratorNameChar"/>
          <w:rFonts w:cs="Arial" w:ascii="Arial" w:hAnsi="Arial"/>
          <w:sz w:val="22"/>
          <w:szCs w:val="22"/>
        </w:rPr>
        <w:t xml:space="preserve"> </w:t>
      </w:r>
      <w:r>
        <w:rPr>
          <w:rFonts w:cs="Arial" w:ascii="Arial" w:hAnsi="Arial"/>
          <w:sz w:val="22"/>
          <w:szCs w:val="22"/>
          <w:lang w:val="bg-BG"/>
        </w:rPr>
        <w:t>об</w:t>
      </w:r>
      <w:bookmarkStart w:id="0" w:name="_GoBack"/>
      <w:bookmarkEnd w:id="0"/>
      <w:r>
        <w:rPr>
          <w:rFonts w:cs="Arial" w:ascii="Arial" w:hAnsi="Arial"/>
          <w:sz w:val="22"/>
          <w:szCs w:val="22"/>
          <w:lang w:val="bg-BG"/>
        </w:rPr>
        <w:t>яснява тези пречки на субекта на данните;</w:t>
      </w:r>
    </w:p>
    <w:p>
      <w:pPr>
        <w:pStyle w:val="ListParagraph"/>
        <w:numPr>
          <w:ilvl w:val="0"/>
          <w:numId w:val="3"/>
        </w:numPr>
        <w:shd w:val="clear" w:color="auto" w:themeTint="0" w:themeShade="0" w:fill="FFFFFF" w:themeFill="background1" w:themeFillTint="0" w:themeFillShade="0"/>
        <w:spacing w:before="0" w:after="120"/>
        <w:ind w:left="851" w:hanging="425"/>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предоставя исканата информация в рамките на един месец от датата на заявката. Ако заявката е сложна, </w:t>
      </w:r>
      <w:r>
        <w:rPr>
          <w:rStyle w:val="SGDPRAdministratorNameChar"/>
          <w:rFonts w:cs="Arial" w:ascii="Arial" w:hAnsi="Arial"/>
          <w:sz w:val="22"/>
          <w:szCs w:val="22"/>
        </w:rPr>
        <w:t xml:space="preserve">(ПАТО ЕООД </w:t>
      </w:r>
      <w:r>
        <w:rPr>
          <w:rFonts w:cs="Arial" w:ascii="Arial" w:hAnsi="Arial"/>
          <w:sz w:val="22"/>
          <w:szCs w:val="22"/>
          <w:lang w:val="bg-BG"/>
        </w:rPr>
        <w:t xml:space="preserve">може да удължи тази времева рамка максимум до три месеца от датата на предявяването й. </w:t>
      </w:r>
      <w:r>
        <w:rPr>
          <w:rStyle w:val="SGDPRAdministratorNameChar"/>
          <w:rFonts w:cs="Arial" w:ascii="Arial" w:hAnsi="Arial"/>
          <w:sz w:val="22"/>
          <w:szCs w:val="22"/>
        </w:rPr>
        <w:t>(ПАТО ЕООД</w:t>
      </w:r>
      <w:r>
        <w:rPr>
          <w:rFonts w:cs="Arial" w:ascii="Arial" w:hAnsi="Arial"/>
          <w:sz w:val="22"/>
          <w:szCs w:val="22"/>
          <w:lang w:val="bg-BG"/>
        </w:rPr>
        <w:t xml:space="preserve"> информира субекта на данни за причините за забавянето чрез </w:t>
      </w:r>
      <w:r>
        <w:rPr>
          <w:rFonts w:cs="Arial" w:ascii="Arial" w:hAnsi="Arial"/>
          <w:i/>
          <w:sz w:val="22"/>
          <w:szCs w:val="22"/>
          <w:lang w:val="bg-BG"/>
        </w:rPr>
        <w:t>подходящо средство за комуникация – имейл, телефон и др.</w:t>
      </w:r>
      <w:r>
        <w:rPr>
          <w:rFonts w:cs="Arial" w:ascii="Arial" w:hAnsi="Arial"/>
          <w:sz w:val="22"/>
          <w:szCs w:val="22"/>
          <w:lang w:val="bg-BG"/>
        </w:rPr>
        <w:t xml:space="preserve"> в рамките на един месец от първоначалното искане;</w:t>
      </w:r>
    </w:p>
    <w:p>
      <w:pPr>
        <w:pStyle w:val="ListParagraph"/>
        <w:numPr>
          <w:ilvl w:val="0"/>
          <w:numId w:val="3"/>
        </w:numPr>
        <w:shd w:val="clear" w:color="auto" w:themeTint="0" w:themeShade="0" w:fill="FFFFFF" w:themeFill="background1" w:themeFillTint="0" w:themeFillShade="0"/>
        <w:spacing w:before="0" w:after="120"/>
        <w:ind w:left="851" w:hanging="425"/>
        <w:rPr>
          <w:rFonts w:ascii="Arial" w:hAnsi="Arial" w:cs="Arial"/>
          <w:sz w:val="22"/>
          <w:szCs w:val="22"/>
          <w:lang w:val="bg-BG"/>
        </w:rPr>
      </w:pPr>
      <w:r>
        <w:rPr>
          <w:rFonts w:cs="Arial" w:ascii="Arial" w:hAnsi="Arial"/>
          <w:sz w:val="22"/>
          <w:szCs w:val="22"/>
          <w:lang w:val="bg-BG"/>
        </w:rPr>
        <w:t xml:space="preserve">Длъжностното лице по защита на данните / Отговорникът по защита на данните поддържа записи за исканията за прехвърляне на данни в </w:t>
      </w:r>
      <w:r>
        <w:rPr>
          <w:rStyle w:val="SGDPRRegister3Char"/>
          <w:sz w:val="22"/>
        </w:rPr>
        <w:t>Регистъра на исканията</w:t>
      </w:r>
      <w:r>
        <w:rPr>
          <w:rFonts w:cs="Arial" w:ascii="Arial" w:hAnsi="Arial"/>
          <w:sz w:val="22"/>
          <w:szCs w:val="22"/>
          <w:lang w:val="bg-BG"/>
        </w:rPr>
        <w:t>, включително всички свързани с осъществяването на тази процедура дати.</w:t>
      </w:r>
    </w:p>
    <w:p>
      <w:pPr>
        <w:pStyle w:val="Normal"/>
        <w:shd w:val="clear" w:color="auto" w:themeTint="0" w:themeShade="0" w:fill="BDD6EE" w:themeFill="accent1" w:themeFillTint="66" w:themeFillShade="0"/>
        <w:tabs>
          <w:tab w:val="left" w:pos="0" w:leader="none"/>
          <w:tab w:val="left" w:pos="426" w:leader="none"/>
          <w:tab w:val="left" w:pos="9072" w:leader="none"/>
        </w:tabs>
        <w:spacing w:before="0" w:after="60"/>
        <w:rPr/>
      </w:pPr>
      <w:r>
        <w:rPr>
          <w:rFonts w:cs="Arial" w:ascii="Arial" w:hAnsi="Arial"/>
          <w:i/>
          <w:sz w:val="20"/>
          <w:szCs w:val="20"/>
        </w:rPr>
        <w:t xml:space="preserve">За повече информация относно сроковете виж </w:t>
      </w:r>
      <w:hyperlink r:id="rId4">
        <w:r>
          <w:rPr>
            <w:rStyle w:val="Style14"/>
            <w:rFonts w:cs="Arial" w:ascii="Arial" w:hAnsi="Arial"/>
            <w:i/>
            <w:sz w:val="20"/>
            <w:szCs w:val="20"/>
          </w:rPr>
          <w:t>чл. 12, пар. 3</w:t>
        </w:r>
      </w:hyperlink>
      <w:r>
        <w:rPr>
          <w:rFonts w:cs="Arial" w:ascii="Arial" w:hAnsi="Arial"/>
          <w:i/>
          <w:sz w:val="20"/>
          <w:szCs w:val="20"/>
        </w:rPr>
        <w:t xml:space="preserve"> от ОРЗД, а също така </w:t>
      </w:r>
      <w:hyperlink r:id="rId5">
        <w:r>
          <w:rPr>
            <w:rStyle w:val="Style14"/>
            <w:rFonts w:cs="Arial" w:ascii="Arial" w:hAnsi="Arial"/>
            <w:i/>
            <w:sz w:val="20"/>
            <w:szCs w:val="20"/>
          </w:rPr>
          <w:t>Насоки относно правото на преносимост на данните</w:t>
        </w:r>
      </w:hyperlink>
      <w:r>
        <w:rPr>
          <w:rFonts w:cs="Arial" w:ascii="Arial" w:hAnsi="Arial"/>
          <w:i/>
          <w:sz w:val="20"/>
          <w:szCs w:val="20"/>
        </w:rPr>
        <w:t xml:space="preserve"> на Работната група по член 29.</w:t>
      </w:r>
    </w:p>
    <w:p>
      <w:pPr>
        <w:pStyle w:val="ListParagraph"/>
        <w:numPr>
          <w:ilvl w:val="0"/>
          <w:numId w:val="4"/>
        </w:numPr>
        <w:shd w:val="clear" w:color="auto" w:themeTint="0" w:themeShade="0" w:fill="FFFFFF" w:themeFill="background1" w:themeFillTint="0" w:themeFillShade="0"/>
        <w:tabs>
          <w:tab w:val="left" w:pos="0" w:leader="none"/>
          <w:tab w:val="left" w:pos="426" w:leader="none"/>
        </w:tabs>
        <w:spacing w:before="240" w:after="120"/>
        <w:ind w:left="357" w:hanging="357"/>
        <w:rPr>
          <w:rFonts w:ascii="Arial" w:hAnsi="Arial" w:cs="Arial"/>
          <w:b/>
          <w:b/>
          <w:szCs w:val="22"/>
          <w:lang w:val="bg-BG"/>
        </w:rPr>
      </w:pPr>
      <w:r>
        <w:rPr>
          <w:rFonts w:cs="Arial" w:ascii="Arial" w:hAnsi="Arial"/>
          <w:b/>
          <w:szCs w:val="22"/>
          <w:lang w:val="bg-BG"/>
        </w:rPr>
        <w:t>Получаване на лични данни</w:t>
      </w:r>
    </w:p>
    <w:p>
      <w:pPr>
        <w:pStyle w:val="Normal"/>
        <w:shd w:val="clear" w:color="auto" w:themeTint="0" w:themeShade="0" w:fill="FFFFFF" w:themeFill="background1" w:themeFillTint="0" w:themeFillShade="0"/>
        <w:tabs>
          <w:tab w:val="left" w:pos="0" w:leader="none"/>
          <w:tab w:val="left" w:pos="426" w:leader="none"/>
          <w:tab w:val="left" w:pos="8647" w:leader="none"/>
        </w:tabs>
        <w:spacing w:before="0" w:after="120"/>
        <w:ind w:right="425" w:hanging="0"/>
        <w:rPr/>
      </w:pPr>
      <w:r>
        <w:rPr>
          <w:rFonts w:cs="Arial" w:ascii="Arial" w:hAnsi="Arial"/>
          <w:sz w:val="22"/>
        </w:rPr>
        <w:t>ПАТО ЕООД приема и съхранява само данните, които са необходими и относими към предоставяната услуга. ПАТО ЕООД</w:t>
      </w:r>
      <w:r>
        <w:rPr>
          <w:rStyle w:val="SGDPRAdministratorNameChar"/>
          <w:rFonts w:cs="Arial" w:ascii="Arial" w:hAnsi="Arial"/>
          <w:sz w:val="22"/>
          <w:szCs w:val="22"/>
        </w:rPr>
        <w:t>)</w:t>
      </w:r>
      <w:r>
        <w:rPr>
          <w:rFonts w:cs="Arial" w:ascii="Arial" w:hAnsi="Arial"/>
          <w:sz w:val="22"/>
        </w:rPr>
        <w:t xml:space="preserve"> не приема и не обработва лични данни „по подразбиране“, дори когато са получени от друг администратор след искане за прехвърлянето им, както и не съхранява всички получени данни.</w:t>
      </w:r>
    </w:p>
    <w:p>
      <w:pPr>
        <w:pStyle w:val="Normal"/>
        <w:shd w:val="clear" w:color="auto" w:themeTint="0" w:themeShade="0" w:fill="BDD6EE" w:themeFill="accent1" w:themeFillTint="66" w:themeFillShade="0"/>
        <w:tabs>
          <w:tab w:val="left" w:pos="0" w:leader="none"/>
          <w:tab w:val="left" w:pos="426" w:leader="none"/>
          <w:tab w:val="left" w:pos="8931" w:leader="none"/>
        </w:tabs>
        <w:spacing w:before="0" w:after="60"/>
        <w:rPr/>
      </w:pPr>
      <w:r>
        <w:rPr>
          <w:rFonts w:cs="Arial" w:ascii="Arial" w:hAnsi="Arial"/>
          <w:i/>
          <w:sz w:val="20"/>
        </w:rPr>
        <w:t xml:space="preserve">Съгласно </w:t>
      </w:r>
      <w:hyperlink r:id="rId6">
        <w:r>
          <w:rPr>
            <w:rStyle w:val="Style14"/>
            <w:rFonts w:cs="Arial" w:ascii="Arial" w:hAnsi="Arial"/>
            <w:i/>
            <w:sz w:val="20"/>
            <w:szCs w:val="20"/>
          </w:rPr>
          <w:t>Насоки относно правото на преносимост на данните</w:t>
        </w:r>
      </w:hyperlink>
      <w:r>
        <w:rPr>
          <w:rFonts w:cs="Arial" w:ascii="Arial" w:hAnsi="Arial"/>
          <w:i/>
          <w:sz w:val="20"/>
        </w:rPr>
        <w:t xml:space="preserve"> на Работната група по чл. 29, „Администраторите на данни, които съхраняват лични данни, следва да са подготвени да способстват за упражняването на правото на преносимост на данните, предоставено на техните субекти на данните. Администраторите на данни могат да изберат също така да приемат данни от даден субект на данни, но НЕ са задължени да го направят.“</w:t>
      </w:r>
    </w:p>
    <w:p>
      <w:pPr>
        <w:pStyle w:val="ListParagraph"/>
        <w:shd w:val="clear" w:color="auto" w:themeTint="0" w:themeShade="0" w:fill="FFFFFF" w:themeFill="background1" w:themeFillTint="0" w:themeFillShade="0"/>
        <w:tabs>
          <w:tab w:val="left" w:pos="0" w:leader="none"/>
          <w:tab w:val="left" w:pos="426" w:leader="none"/>
        </w:tabs>
        <w:spacing w:before="120" w:after="120"/>
        <w:ind w:left="0" w:hanging="0"/>
        <w:rPr/>
      </w:pPr>
      <w:r>
        <w:rPr>
          <w:rFonts w:cs="Arial" w:ascii="Arial" w:hAnsi="Arial"/>
          <w:sz w:val="22"/>
          <w:szCs w:val="22"/>
          <w:lang w:val="bg-BG"/>
        </w:rPr>
        <w:t>Ако получените данни съдържат данни от трети лица,  ПАТО ЕООД съхранява данните под контрола на субекта заявител. Тези данни се управляват само за неговите нужди, но не и за други цели на администратора,</w:t>
      </w:r>
    </w:p>
    <w:p>
      <w:pPr>
        <w:pStyle w:val="Normal"/>
        <w:rPr/>
      </w:pPr>
      <w:r>
        <w:rPr/>
      </w:r>
    </w:p>
    <w:sectPr>
      <w:headerReference w:type="default" r:id="rId7"/>
      <w:footerReference w:type="default" r:id="rId8"/>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5" w:type="dxa"/>
      <w:tblCellMar>
        <w:top w:w="0" w:type="dxa"/>
        <w:left w:w="103" w:type="dxa"/>
        <w:bottom w:w="0" w:type="dxa"/>
        <w:right w:w="108" w:type="dxa"/>
      </w:tblCellMar>
    </w:tblPr>
    <w:tblGrid>
      <w:gridCol w:w="3066"/>
      <w:gridCol w:w="3067"/>
      <w:gridCol w:w="3501"/>
    </w:tblGrid>
    <w:tr>
      <w:trPr>
        <w:trHeight w:val="294" w:hRule="atLeast"/>
      </w:trPr>
      <w:tc>
        <w:tcPr>
          <w:tcW w:w="9634" w:type="dxa"/>
          <w:gridSpan w:val="3"/>
          <w:tcBorders/>
          <w:shd w:color="auto" w:fill="F2F2F2" w:themeFill="background1" w:themeFillShade="f2" w:val="clear"/>
          <w:tcMar>
            <w:left w:w="103"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c>
        <w:tcPr>
          <w:tcW w:w="3066"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7"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103" w:type="dxa"/>
          </w:tcMar>
        </w:tcPr>
        <w:p>
          <w:pPr>
            <w:pStyle w:val="Normal"/>
            <w:spacing w:lineRule="auto" w:line="240" w:before="0" w:after="0"/>
            <w:rPr/>
          </w:pPr>
          <w:r>
            <w:rPr>
              <w:rFonts w:cs="Times New Roman"/>
              <w:sz w:val="22"/>
              <w:lang w:val="en-GB"/>
            </w:rPr>
            <w:t>Телефон:</w:t>
          </w:r>
          <w:r>
            <w:rPr>
              <w:rStyle w:val="SGDPRPhoneChar"/>
              <w:rFonts w:cs="Times New Roman"/>
              <w:sz w:val="22"/>
              <w:lang w:val="en-GB"/>
            </w:rPr>
            <w:t xml:space="preserve"> 058/ 600720</w:t>
          </w:r>
        </w:p>
      </w:tc>
    </w:tr>
  </w:tbl>
  <w:p>
    <w:pPr>
      <w:pStyle w:val="Style21"/>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6"/>
      <w:rPr/>
    </w:pPr>
    <w:r>
      <w:rPr/>
    </w:r>
  </w:p>
  <w:tbl>
    <w:tblPr>
      <w:tblStyle w:val="TableGrid"/>
      <w:tblW w:w="9634" w:type="dxa"/>
      <w:jc w:val="left"/>
      <w:tblInd w:w="-5" w:type="dxa"/>
      <w:tblCellMar>
        <w:top w:w="0" w:type="dxa"/>
        <w:left w:w="103"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103" w:type="dxa"/>
          </w:tcMar>
        </w:tcPr>
        <w:p>
          <w:pPr>
            <w:pStyle w:val="Normal"/>
            <w:spacing w:lineRule="auto" w:line="240" w:before="0" w:after="0"/>
            <w:jc w:val="center"/>
            <w:rPr/>
          </w:pPr>
          <w:r>
            <w:rPr/>
            <w:drawing>
              <wp:inline distT="0" distB="0" distL="0" distR="0">
                <wp:extent cx="709930" cy="6273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p>
          <w:pPr>
            <w:pStyle w:val="Normal"/>
            <w:spacing w:lineRule="auto" w:line="240" w:before="0" w:after="0"/>
            <w:jc w:val="center"/>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8107" w:type="dxa"/>
          <w:gridSpan w:val="3"/>
          <w:tcBorders/>
          <w:shd w:color="auto" w:fill="F2F2F2" w:themeFill="background1" w:themeFillShade="f2" w:val="clear"/>
          <w:tcMar>
            <w:left w:w="103" w:type="dxa"/>
          </w:tcMar>
        </w:tcPr>
        <w:p>
          <w:pPr>
            <w:pStyle w:val="Style20"/>
            <w:spacing w:lineRule="auto" w:line="240" w:before="40" w:after="0"/>
            <w:jc w:val="center"/>
            <w:rPr>
              <w:rFonts w:ascii="Times New Roman" w:hAnsi="Times New Roman" w:cs="Times New Roman"/>
              <w:b/>
              <w:b/>
              <w:sz w:val="24"/>
              <w:szCs w:val="28"/>
              <w:lang w:val="ru-RU"/>
            </w:rPr>
          </w:pPr>
          <w:r>
            <w:rPr>
              <w:rFonts w:cs="Times New Roman" w:ascii="Times New Roman" w:hAnsi="Times New Roman"/>
              <w:b/>
              <w:sz w:val="24"/>
              <w:szCs w:val="28"/>
              <w:lang w:val="ru-RU"/>
            </w:rPr>
          </w:r>
        </w:p>
        <w:p>
          <w:pPr>
            <w:pStyle w:val="Style20"/>
            <w:spacing w:lineRule="auto" w:line="240" w:before="40" w:after="0"/>
            <w:jc w:val="center"/>
            <w:rPr>
              <w:rFonts w:cs="Times New Roman"/>
              <w:b/>
              <w:b/>
              <w:lang w:val="bg-BG"/>
            </w:rPr>
          </w:pPr>
          <w:r>
            <w:rPr>
              <w:rFonts w:cs="Times New Roman" w:ascii="Times New Roman" w:hAnsi="Times New Roman"/>
              <w:b/>
              <w:sz w:val="24"/>
              <w:szCs w:val="28"/>
              <w:lang w:val="ru-RU"/>
            </w:rPr>
            <w:t>ПРОЦЕДУРА ЗА ПРЕНОСИМОСТ НА ДАННИ</w:t>
          </w:r>
        </w:p>
        <w:p>
          <w:pPr>
            <w:pStyle w:val="Style20"/>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p>
          <w:pPr>
            <w:pStyle w:val="Style20"/>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tc>
    </w:tr>
    <w:tr>
      <w:trPr>
        <w:trHeight w:val="320" w:hRule="atLeast"/>
      </w:trPr>
      <w:tc>
        <w:tcPr>
          <w:tcW w:w="1526" w:type="dxa"/>
          <w:tcBorders/>
          <w:shd w:color="auto" w:fill="F2F2F2" w:themeFill="background1" w:themeFillShade="f2" w:val="clear"/>
          <w:tcMar>
            <w:left w:w="103"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5</w:t>
          </w:r>
          <w:r>
            <w:rPr>
              <w:rFonts w:cs="Times New Roman"/>
              <w:sz w:val="22"/>
              <w:szCs w:val="22"/>
              <w:lang w:val="bg-BG"/>
            </w:rPr>
            <w:t xml:space="preserve"> </w:t>
          </w:r>
        </w:p>
      </w:tc>
      <w:tc>
        <w:tcPr>
          <w:tcW w:w="1956" w:type="dxa"/>
          <w:tcBorders/>
          <w:shd w:color="auto" w:fill="F2F2F2" w:themeFill="background1" w:themeFillShade="f2" w:val="clear"/>
          <w:tcMar>
            <w:left w:w="103"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103" w:type="dxa"/>
          </w:tcMar>
        </w:tcPr>
        <w:sdt>
          <w:sdtPr>
            <w:docPartObj>
              <w:docPartGallery w:val="Page Numbers (Top of Page)"/>
              <w:docPartUnique w:val="true"/>
            </w:docPartObj>
          </w:sdtPr>
          <w:sdtContent>
            <w:p>
              <w:pPr>
                <w:pStyle w:val="Style20"/>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3</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3</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bg-BG"/>
            </w:rPr>
            <w:t>ПАТО ЕООД</w:t>
          </w:r>
        </w:p>
        <w:p>
          <w:pPr>
            <w:pStyle w:val="Normal"/>
            <w:spacing w:lineRule="auto" w:line="240" w:before="2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4961" w:type="dxa"/>
          <w:gridSpan w:val="2"/>
          <w:tcBorders/>
          <w:shd w:color="auto" w:fill="F2F2F2" w:themeFill="background1" w:themeFillShade="f2" w:val="clear"/>
          <w:tcMar>
            <w:left w:w="103" w:type="dxa"/>
          </w:tcMar>
        </w:tcPr>
        <w:p>
          <w:pPr>
            <w:pStyle w:val="Normal"/>
            <w:spacing w:lineRule="auto" w:line="240" w:before="20" w:after="0"/>
            <w:rPr/>
          </w:pPr>
          <w:r>
            <w:rPr>
              <w:rFonts w:cs="Times New Roman"/>
              <w:sz w:val="22"/>
              <w:szCs w:val="22"/>
              <w:lang w:val="en-GB"/>
            </w:rPr>
            <w:t>ДЛЗД/Отговорник:</w:t>
          </w:r>
          <w:r>
            <w:rPr>
              <w:rStyle w:val="SGDPRPersonResposibleNameChar"/>
              <w:rFonts w:cs="Times New Roman"/>
              <w:sz w:val="22"/>
              <w:szCs w:val="22"/>
              <w:lang w:val="bg-BG"/>
            </w:rPr>
            <w:t xml:space="preserve">  В. КАЛЧЕВА</w:t>
          </w:r>
        </w:p>
        <w:p>
          <w:pPr>
            <w:pStyle w:val="Normal"/>
            <w:spacing w:lineRule="auto" w:line="240" w:before="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r>
  </w:tbl>
  <w:p>
    <w:pPr>
      <w:pStyle w:val="Style2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2"/>
        <w:b/>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4"/>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Style14">
    <w:name w:val="Връзка към Интернет"/>
    <w:basedOn w:val="DefaultParagraphFont"/>
    <w:uiPriority w:val="99"/>
    <w:unhideWhenUsed/>
    <w:rsid w:val="00777a0c"/>
    <w:rPr>
      <w:color w:val="0563C1" w:themeColor="hyperlink"/>
      <w:u w:val="single"/>
      <w:lang w:val="zxx" w:eastAsia="zxx" w:bidi="zxx"/>
    </w:rPr>
  </w:style>
  <w:style w:type="character" w:styleId="SGDPRRegister1Char" w:customStyle="1">
    <w:name w:val="S_GDPR_Register1 Char"/>
    <w:basedOn w:val="DefaultParagraphFont"/>
    <w:link w:val="SGDPRRegister1"/>
    <w:qFormat/>
    <w:rsid w:val="002e4156"/>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2e4156"/>
    <w:rPr>
      <w:rFonts w:ascii="Arial" w:hAnsi="Arial" w:eastAsia="SimSun" w:cs="Arial"/>
      <w:color w:val="A6A6A6" w:themeColor="background1" w:themeShade="a6"/>
      <w:lang w:eastAsia="hi-IN" w:bidi="hi-IN"/>
    </w:rPr>
  </w:style>
  <w:style w:type="character" w:styleId="SGDPRRegister3Char" w:customStyle="1">
    <w:name w:val="S_GDPR_Register3 Char"/>
    <w:basedOn w:val="SGDPRRegister1Char"/>
    <w:link w:val="SGDPRRegister3"/>
    <w:qFormat/>
    <w:rsid w:val="00954bf0"/>
    <w:rPr>
      <w:rFonts w:ascii="Arial" w:hAnsi="Arial" w:eastAsia="SimSun" w:cs="Arial"/>
      <w:color w:val="A6A6A6" w:themeColor="background1" w:themeShade="a6"/>
      <w:lang w:eastAsia="hi-IN" w:bidi="hi-IN"/>
    </w:rPr>
  </w:style>
  <w:style w:type="character" w:styleId="ListLabel1">
    <w:name w:val="ListLabel 1"/>
    <w:qFormat/>
    <w:rPr>
      <w:b/>
    </w:rPr>
  </w:style>
  <w:style w:type="character" w:styleId="ListLabel2">
    <w:name w:val="ListLabel 2"/>
    <w:qFormat/>
    <w:rPr>
      <w:rFonts w:cs="Courier New"/>
    </w:rPr>
  </w:style>
  <w:style w:type="character" w:styleId="ListLabel3">
    <w:name w:val="ListLabel 3"/>
    <w:qFormat/>
    <w:rPr>
      <w:rFonts w:ascii="Arial" w:hAnsi="Arial"/>
      <w:b/>
      <w:sz w:val="22"/>
    </w:rPr>
  </w:style>
  <w:style w:type="character" w:styleId="ListLabel4">
    <w:name w:val="ListLabel 4"/>
    <w:qFormat/>
    <w:rPr>
      <w:rFonts w:ascii="Arial" w:hAnsi="Arial"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paragraph" w:styleId="Style15">
    <w:name w:val="Заглавие"/>
    <w:basedOn w:val="Normal"/>
    <w:next w:val="Style16"/>
    <w:qFormat/>
    <w:pPr>
      <w:keepNext/>
      <w:spacing w:before="240" w:after="120"/>
    </w:pPr>
    <w:rPr>
      <w:rFonts w:ascii="Liberation Sans" w:hAnsi="Liberation Sans" w:eastAsia="Arial Unicode MS" w:cs="Arial Unicode MS"/>
      <w:sz w:val="28"/>
      <w:szCs w:val="28"/>
    </w:rPr>
  </w:style>
  <w:style w:type="paragraph" w:styleId="Style16">
    <w:name w:val="Основен текст"/>
    <w:basedOn w:val="Normal"/>
    <w:pPr>
      <w:spacing w:lineRule="auto" w:line="288" w:before="0" w:after="140"/>
    </w:pPr>
    <w:rPr/>
  </w:style>
  <w:style w:type="paragraph" w:styleId="Style17">
    <w:name w:val="Списък"/>
    <w:basedOn w:val="Style16"/>
    <w:pPr/>
    <w:rPr/>
  </w:style>
  <w:style w:type="paragraph" w:styleId="Style18">
    <w:name w:val="Надпис"/>
    <w:basedOn w:val="Normal"/>
    <w:pPr>
      <w:suppressLineNumbers/>
      <w:spacing w:before="120" w:after="120"/>
    </w:pPr>
    <w:rPr>
      <w:i/>
      <w:iCs/>
      <w:sz w:val="24"/>
      <w:szCs w:val="24"/>
    </w:rPr>
  </w:style>
  <w:style w:type="paragraph" w:styleId="Style19">
    <w:name w:val="Указател"/>
    <w:basedOn w:val="Normal"/>
    <w:qFormat/>
    <w:pPr>
      <w:suppressLineNumbers/>
    </w:pPr>
    <w:rPr/>
  </w:style>
  <w:style w:type="paragraph" w:styleId="Style20">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1">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ListParagraph">
    <w:name w:val="List Paragraph"/>
    <w:basedOn w:val="Normal"/>
    <w:uiPriority w:val="34"/>
    <w:qFormat/>
    <w:rsid w:val="00777a0c"/>
    <w:pPr>
      <w:widowControl/>
      <w:suppressAutoHyphens w:val="false"/>
      <w:ind w:left="720" w:hanging="0"/>
    </w:pPr>
    <w:rPr>
      <w:rFonts w:ascii="CG Times" w:hAnsi="CG Times" w:eastAsia="Times New Roman" w:cs="Times New Roman"/>
      <w:szCs w:val="20"/>
      <w:lang w:val="en-US" w:eastAsia="en-GB" w:bidi="ar-SA"/>
    </w:rPr>
  </w:style>
  <w:style w:type="paragraph" w:styleId="GDPRApisParts" w:customStyle="1">
    <w:name w:val="GDPR_Apis_Parts"/>
    <w:basedOn w:val="Normal"/>
    <w:qFormat/>
    <w:rsid w:val="00777a0c"/>
    <w:pPr>
      <w:widowControl/>
      <w:suppressAutoHyphens w:val="false"/>
      <w:spacing w:lineRule="auto" w:line="254" w:before="0" w:after="160"/>
    </w:pPr>
    <w:rPr>
      <w:rFonts w:ascii="Arial" w:hAnsi="Arial" w:eastAsia="Calibri" w:cs="" w:cstheme="minorBidi" w:eastAsiaTheme="minorHAnsi"/>
      <w:b/>
      <w:color w:val="000000" w:themeColor="text1"/>
      <w:sz w:val="28"/>
      <w:szCs w:val="22"/>
      <w:lang w:eastAsia="en-US" w:bidi="ar-SA"/>
    </w:rPr>
  </w:style>
  <w:style w:type="paragraph" w:styleId="SGDPRRegister1" w:customStyle="1">
    <w:name w:val="S_GDPR_Register1"/>
    <w:basedOn w:val="Normal"/>
    <w:link w:val="SGDPRRegister1Char"/>
    <w:qFormat/>
    <w:rsid w:val="002e4156"/>
    <w:pPr>
      <w:spacing w:before="0" w:after="120"/>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2e4156"/>
    <w:pPr>
      <w:ind w:left="851" w:hanging="425"/>
    </w:pPr>
    <w:rPr/>
  </w:style>
  <w:style w:type="paragraph" w:styleId="SGDPRRegister3" w:customStyle="1">
    <w:name w:val="S_GDPR_Register3"/>
    <w:basedOn w:val="SGDPRRegister1"/>
    <w:next w:val="Normal"/>
    <w:link w:val="SGDPRRegister3Char"/>
    <w:qFormat/>
    <w:rsid w:val="002e4156"/>
    <w:pPr>
      <w:ind w:left="851" w:hanging="425"/>
    </w:pPr>
    <w:rPr/>
  </w:style>
  <w:style w:type="paragraph" w:styleId="SGDPRRegister4" w:customStyle="1">
    <w:name w:val="S_GDPR_Register4"/>
    <w:basedOn w:val="SGDPRRegister1"/>
    <w:next w:val="Normal"/>
    <w:qFormat/>
    <w:rsid w:val="002e4156"/>
    <w:pPr>
      <w:ind w:left="851" w:hanging="425"/>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12" TargetMode="External"/><Relationship Id="rId3" Type="http://schemas.openxmlformats.org/officeDocument/2006/relationships/hyperlink" Target="https://web.apis.bg/e.php?i=651166" TargetMode="External"/><Relationship Id="rId4" Type="http://schemas.openxmlformats.org/officeDocument/2006/relationships/hyperlink" Target="https://web.apis.bg/e.php?celex=32016R0679&amp;ToPar=Art12" TargetMode="External"/><Relationship Id="rId5" Type="http://schemas.openxmlformats.org/officeDocument/2006/relationships/hyperlink" Target="https://web.apis.bg/e.php?i=651166" TargetMode="External"/><Relationship Id="rId6" Type="http://schemas.openxmlformats.org/officeDocument/2006/relationships/hyperlink" Target="https://web.apis.bg/e.php?i=651166"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LibreOffice/5.1.1.3$Windows_x86 LibreOffice_project/89f508ef3ecebd2cfb8e1def0f0ba9a803b88a6d</Application>
  <Pages>3</Pages>
  <Words>912</Words>
  <Characters>4955</Characters>
  <CharactersWithSpaces>5809</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2018-03-07T19:04:00Z</dcterms:created>
  <dc:creator>© Apis Europe JSC</dc:creator>
  <dc:description/>
  <dc:language>en-US</dc:language>
  <cp:lastModifiedBy/>
  <dcterms:modified xsi:type="dcterms:W3CDTF">2018-05-25T16:42:10Z</dcterms:modified>
  <cp:revision>17</cp:revision>
  <dc:subject/>
  <dc:title>ПРОЦЕДУРА ЗА ПРЕНОСИМОСТ НА ДАННИ</dc:title>
</cp:coreProperties>
</file>